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93" w:rsidRPr="00EC1593" w:rsidRDefault="00606884" w:rsidP="00606884">
      <w:pPr>
        <w:spacing w:after="105" w:line="750" w:lineRule="atLeast"/>
        <w:jc w:val="center"/>
        <w:outlineLvl w:val="0"/>
        <w:rPr>
          <w:rFonts w:eastAsia="Times New Roman" w:cs="Times New Roman"/>
          <w:b/>
          <w:color w:val="111111"/>
          <w:kern w:val="36"/>
          <w:sz w:val="36"/>
          <w:szCs w:val="36"/>
        </w:rPr>
      </w:pPr>
      <w:r w:rsidRPr="00606884">
        <w:rPr>
          <w:rFonts w:eastAsia="Times New Roman" w:cs="Times New Roman"/>
          <w:b/>
          <w:color w:val="111111"/>
          <w:kern w:val="36"/>
          <w:sz w:val="36"/>
          <w:szCs w:val="36"/>
        </w:rPr>
        <w:t>BÀI TUYÊN TRUYỀN LUẬT TỐ CÁO NĂM 2018</w:t>
      </w:r>
    </w:p>
    <w:p w:rsidR="00EC1593" w:rsidRPr="00EC1593" w:rsidRDefault="00EC1593" w:rsidP="00606884">
      <w:pPr>
        <w:spacing w:after="0" w:line="240" w:lineRule="auto"/>
        <w:ind w:firstLine="720"/>
        <w:jc w:val="both"/>
        <w:rPr>
          <w:rFonts w:eastAsia="Times New Roman" w:cs="Times New Roman"/>
          <w:color w:val="222222"/>
          <w:szCs w:val="28"/>
        </w:rPr>
      </w:pPr>
      <w:r w:rsidRPr="00606884">
        <w:rPr>
          <w:rFonts w:eastAsia="Times New Roman" w:cs="Times New Roman"/>
          <w:bCs/>
          <w:color w:val="222222"/>
          <w:szCs w:val="28"/>
        </w:rPr>
        <w:t xml:space="preserve">Ngày 12/6/2018, tại Kỳ họp thứ 5, Quốc hội nước Cộng hòa xã hội chủ nghĩa Việt Nam Khóa XIV đã thông qua Luật Tố cáo số 25/2018/QH14, có hiệu lực thi hành từ ngày 01/01/2019 và thay thế Luật Tố cáo năm 2011; dưới đây là những nội dung </w:t>
      </w:r>
      <w:r w:rsidR="00606884">
        <w:rPr>
          <w:rFonts w:eastAsia="Times New Roman" w:cs="Times New Roman"/>
          <w:bCs/>
          <w:color w:val="222222"/>
          <w:szCs w:val="28"/>
        </w:rPr>
        <w:t>cơ bản của Luật Tố cáo năm 2018:</w:t>
      </w:r>
    </w:p>
    <w:p w:rsidR="00EC1593" w:rsidRPr="00EC1593" w:rsidRDefault="00280E79" w:rsidP="00606884">
      <w:pPr>
        <w:spacing w:after="0" w:line="240" w:lineRule="auto"/>
        <w:ind w:firstLine="720"/>
        <w:jc w:val="both"/>
        <w:rPr>
          <w:rFonts w:eastAsia="Times New Roman" w:cs="Times New Roman"/>
          <w:b/>
          <w:color w:val="222222"/>
          <w:szCs w:val="28"/>
        </w:rPr>
      </w:pPr>
      <w:r w:rsidRPr="00280E79">
        <w:rPr>
          <w:rFonts w:eastAsia="Times New Roman" w:cs="Times New Roman"/>
          <w:b/>
          <w:color w:val="222222"/>
          <w:szCs w:val="28"/>
        </w:rPr>
        <w:t>*</w:t>
      </w:r>
      <w:r w:rsidR="00EC1593" w:rsidRPr="00EC1593">
        <w:rPr>
          <w:rFonts w:eastAsia="Times New Roman" w:cs="Times New Roman"/>
          <w:b/>
          <w:color w:val="222222"/>
          <w:szCs w:val="28"/>
        </w:rPr>
        <w:t xml:space="preserve"> Quyền và nghĩa vụ của người tố cáo, người bị tố cáo, người giải quyết tố cáo:</w:t>
      </w:r>
    </w:p>
    <w:p w:rsidR="00EC1593" w:rsidRPr="00EC1593" w:rsidRDefault="00EC1593" w:rsidP="00606884">
      <w:pPr>
        <w:spacing w:after="0" w:line="240" w:lineRule="auto"/>
        <w:ind w:firstLine="720"/>
        <w:jc w:val="both"/>
        <w:rPr>
          <w:rFonts w:eastAsia="Times New Roman" w:cs="Times New Roman"/>
          <w:color w:val="222222"/>
          <w:szCs w:val="28"/>
        </w:rPr>
      </w:pPr>
      <w:r w:rsidRPr="00606884">
        <w:rPr>
          <w:rFonts w:eastAsia="Times New Roman" w:cs="Times New Roman"/>
          <w:i/>
          <w:iCs/>
          <w:color w:val="222222"/>
          <w:szCs w:val="28"/>
        </w:rPr>
        <w:t>Đối với người tố cáo</w:t>
      </w:r>
      <w:r w:rsidRPr="00EC1593">
        <w:rPr>
          <w:rFonts w:eastAsia="Times New Roman" w:cs="Times New Roman"/>
          <w:color w:val="222222"/>
          <w:szCs w:val="28"/>
        </w:rPr>
        <w:t>, tại khoản 1 Điều 9 Luật quy định các quyền như: thực hiện quyền tố cáo; được bảo đảm bí mật họ tên, địa chỉ, bút tích và thông tin cá nhân khác;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luận nội dung tố cáo; tố cáo tiếp khi có căn cứ cho rằng việc giải quyết tố cáo của cơ quan, tổ chức, cá nhân có thẩm quyền không đúng pháp luật hoặc quá thời hạn quy định mà tố cáo chưa được giải quyết; đề nghị cơ quan, tổ chức, cá nhân có thẩm quyền áp dụng các biện pháp bảo vệ người tố cáo; được khen thưởng, bồi thường thiệt hại theo quy định của pháp luật. Ngoài ra, so với Luật Tố cáo năm 2011, Luật Tố cáo năm 2018 còn bổ sung quyền rút tố cáo của người tố cáo.</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Bên cạnh các quyền, tại khoản 2 Điều 9 Luật Tố cáo năm 2018 cũng quy định người tố cáo có các nghĩa vụ sau: cung cấp thông tin cá nhân quy định tại Điều 23 của Luật (như họ tên, địa chỉ, cách thức liên lạc); trình bày trung thực về nội dung tố cáo; cung cấp thông tin, tài liệu liên quan đến nội dung tố cáo mà mình có được; chịu trách nhiệm trước pháp luật về nội dung tố cáo; hợp tác với người giải quyết tố cáo khi có yêu cầu và bồi thường thiệt hại do hành vi tố cáo sai sự thật của mình gây ra.</w:t>
      </w:r>
    </w:p>
    <w:p w:rsidR="00EC1593" w:rsidRPr="00EC1593" w:rsidRDefault="00EC1593" w:rsidP="00606884">
      <w:pPr>
        <w:spacing w:after="0" w:line="240" w:lineRule="auto"/>
        <w:ind w:firstLine="720"/>
        <w:jc w:val="both"/>
        <w:rPr>
          <w:rFonts w:eastAsia="Times New Roman" w:cs="Times New Roman"/>
          <w:color w:val="222222"/>
          <w:szCs w:val="28"/>
        </w:rPr>
      </w:pPr>
      <w:r w:rsidRPr="00606884">
        <w:rPr>
          <w:rFonts w:eastAsia="Times New Roman" w:cs="Times New Roman"/>
          <w:i/>
          <w:iCs/>
          <w:color w:val="222222"/>
          <w:szCs w:val="28"/>
        </w:rPr>
        <w:t>Đối với người bị tố cáo</w:t>
      </w:r>
      <w:r w:rsidRPr="00EC1593">
        <w:rPr>
          <w:rFonts w:eastAsia="Times New Roman" w:cs="Times New Roman"/>
          <w:color w:val="222222"/>
          <w:szCs w:val="28"/>
        </w:rPr>
        <w:t>, khoản 1 Điều 10 Luật quy định các quyền sau: được thông báo về nội dung tố cáo, việc gia hạn giải quyết tố cáo, đình chỉ, tạm đình chỉ việc giải quyết tố cáo, tiếp tục giải quyết tố cáo; được giải trình, đưa ra chứng cứ để chứng minh nội dung tố cáo là không đúng sự thật; được nhận kết luận nội dung tố cáo; yêu cầu cơ quan, tổ chức, cá nhân có thẩm quyền xử lý người cố ý tố cáo sai sự thật, người giải quyết tố cáo trái pháp luật, được phục hồi danh dự, khôi phục quyền và lợi ích hợp pháp bị xâm hại, được xin lỗi, cải chính công khai, được bồi thường thiệt hại do việc tố cáo, giải quyết tố cáo không đúng gây ra theo quy định của pháp luật; khiếu nại quyết định xử lý của cơ quan, tổ chức, cá nhân có thẩm quyền theo quy định của pháp luật. Ngoài ra, Luật Tố cáo năm 2018 đã bổ sung quy định: người bị tố cáo có quyền được bảo đảm quyền, lợi ích hợp pháp khi chưa có kết luận nội dung tố cáo của người giải quyết tố cáo.</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Luật cũng quy định tại khoản 2 Điều 10 các nghĩa vụ của người bị tố cáo gồm: có mặt để làm việc theo yêu cầu của người giải quyết tố cáo; giải trình về hành vi bị tố cáo; cung cấp thông tin, tài liệu liên quan khi cơ quan, tổ chức, cá nhân có thẩm quyền yêu cầu; chấp hành nghiêm chỉnh quyết định xử lý theo kết luận nội dung tố cáo của cơ quan, tổ chức, cá nhân có thẩm quyền; bồi thường thiệt hại, bồi hoàn do hành vi trái pháp luật của mình gây ra.</w:t>
      </w:r>
    </w:p>
    <w:p w:rsidR="00EC1593" w:rsidRPr="00EC1593" w:rsidRDefault="00EC1593" w:rsidP="00606884">
      <w:pPr>
        <w:spacing w:after="0" w:line="240" w:lineRule="auto"/>
        <w:ind w:firstLine="720"/>
        <w:jc w:val="both"/>
        <w:rPr>
          <w:rFonts w:eastAsia="Times New Roman" w:cs="Times New Roman"/>
          <w:color w:val="222222"/>
          <w:szCs w:val="28"/>
        </w:rPr>
      </w:pPr>
      <w:r w:rsidRPr="00606884">
        <w:rPr>
          <w:rFonts w:eastAsia="Times New Roman" w:cs="Times New Roman"/>
          <w:i/>
          <w:iCs/>
          <w:color w:val="222222"/>
          <w:szCs w:val="28"/>
        </w:rPr>
        <w:t>Đối với người giải quyết tố cáo</w:t>
      </w:r>
      <w:r w:rsidRPr="00EC1593">
        <w:rPr>
          <w:rFonts w:eastAsia="Times New Roman" w:cs="Times New Roman"/>
          <w:color w:val="222222"/>
          <w:szCs w:val="28"/>
        </w:rPr>
        <w:t xml:space="preserve">, Luật quy định các quyền sau: yêu cầu người tố cáo đến làm việc, cung cấp thông tin, tài liệu liên quan đến nội dung tố cáo mà người tố </w:t>
      </w:r>
      <w:r w:rsidRPr="00EC1593">
        <w:rPr>
          <w:rFonts w:eastAsia="Times New Roman" w:cs="Times New Roman"/>
          <w:color w:val="222222"/>
          <w:szCs w:val="28"/>
        </w:rPr>
        <w:lastRenderedPageBreak/>
        <w:t>cáo có được; yêu cầu người bị tố cáo đến làm việc, giải trình về hành vi bị tố cáo, cung cấp thông tin, tài liệu liên quan đến nội dung tố cáo; yêu cầu, đề nghị cơ quan, tổ chức, cá nhân khác cung cấp thông tin, tài liệu liên quan đến nội dung tố cáo; tiến hành các biện pháp cần thiết để xác minh, thu thập thông tin, tài liệu làm căn cứ để giải quyết tố cáo theo quy định của Luật Tố cáo và quy định khác của pháp luật có liên quan; áp dụng hoặc yêu cầu, kiến nghị cơ quan, tổ chức, cá nhân có thẩm quyền áp dụng các biện pháp theo quy định của pháp luật để ngăn chặn, chấm dứt hành vi vi phạm pháp luật bị tố cáo; kết luận nội dung tố cáo; xử lý kết luận nội dung tố cáo theo thẩm quyền hoặc kiến nghị cơ quan, tổ chức, cá nhân có thẩm quyền xử lý theo quy định của pháp luật (khoản 1 Điều 11).</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Tại khoản 2 Điều 11, Luật quy định người giải quyết tố cáo có các nghĩa vụ sau: bảo đảm khách quan, trung thực, đúng pháp luật trong việc giải quyết tố cáo; áp dụng các biện pháp bảo vệ cần thiết theo thẩm quyền hoặc kiến nghị cơ quan có thẩm quyền áp dụng các biện pháp bảo vệ người tố cáo; không tiết lộ thông tin về việc giải quyết tố cáo; bảo đảm quyền và lợi ích hợp pháp của người bị tố cáo khi chưa có kết luận nội dung tố cáo; thông báo cho người tố cáo về việc thụ lý hoặc không thụ lý tố cáo, việc chuyển vụ việc tố cáo đến cơ quan, tổ chức, cá nhân có thẩm quyền giải quyết, gia hạn giải quyết tố cáo, đình chỉ, tạm đình chỉ việc giải quyết tố cáo, tiếp tục giải quyết tố cáo, kết luận nội dung tố cáo; thông báo cho người bị tố cáo về nội dung tố cáo, gia hạn giải quyết tố cáo, đình chỉ, tạm đình chỉ việc giải quyết tố cáo, tiếp tục giải quyết tố cáo; gửi kết luận nội dung tố cáo cho người bị tố cáo; chịu trách nhiệm trước pháp luật về việc giải quyết tố cáo; bồi thường thiệt hại, bồi hoàn do hành vi giải quyết tố cáo trái pháp luật của mình gây ra.</w:t>
      </w:r>
    </w:p>
    <w:p w:rsidR="00EC1593" w:rsidRPr="00EC1593" w:rsidRDefault="00606884" w:rsidP="00606884">
      <w:pPr>
        <w:spacing w:after="0" w:line="240" w:lineRule="auto"/>
        <w:ind w:firstLine="720"/>
        <w:jc w:val="both"/>
        <w:rPr>
          <w:rFonts w:eastAsia="Times New Roman" w:cs="Times New Roman"/>
          <w:color w:val="222222"/>
          <w:szCs w:val="28"/>
        </w:rPr>
      </w:pPr>
      <w:r w:rsidRPr="00606884">
        <w:rPr>
          <w:rFonts w:eastAsia="Times New Roman" w:cs="Times New Roman"/>
          <w:b/>
          <w:color w:val="222222"/>
          <w:szCs w:val="28"/>
        </w:rPr>
        <w:t>*</w:t>
      </w:r>
      <w:r w:rsidR="00EC1593" w:rsidRPr="00EC1593">
        <w:rPr>
          <w:rFonts w:eastAsia="Times New Roman" w:cs="Times New Roman"/>
          <w:b/>
          <w:color w:val="222222"/>
          <w:szCs w:val="28"/>
        </w:rPr>
        <w:t xml:space="preserve"> Giải quyết tố cáo đối với hành vi vi phạm pháp luật trong việc thực hiện nhiệm vụ, công vụ:</w:t>
      </w:r>
      <w:r w:rsidR="00EC1593" w:rsidRPr="00EC1593">
        <w:rPr>
          <w:rFonts w:eastAsia="Times New Roman" w:cs="Times New Roman"/>
          <w:color w:val="222222"/>
          <w:szCs w:val="28"/>
        </w:rPr>
        <w:t xml:space="preserve"> Về nguyên tắc xác định thẩm quyền giải quyết tố cáo (Điều 12), Luật tiếp tục kế thừa nguyên tắc xác định thẩm quyền của Luật Tố cáo năm 2011, đồng thời, để đáp ứng yêu cầu thực tiễn hiện nay, Luật đã bổ sung một số nguyên tắc xác định thẩm quyền giải quyết tố cáo trong các trường hợp như: 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tố cáo cán bộ, công chức, viên chức của cơ quan, tổ chức đã hợp nhất, sáp nhập, chia, tách, đã bị giải thể; tố cáo cơ quan, tổ chức.</w:t>
      </w:r>
    </w:p>
    <w:p w:rsidR="00EC1593" w:rsidRPr="00EC1593" w:rsidRDefault="00EC1593" w:rsidP="00606884">
      <w:pPr>
        <w:spacing w:after="0" w:line="240" w:lineRule="auto"/>
        <w:jc w:val="both"/>
        <w:rPr>
          <w:rFonts w:eastAsia="Times New Roman" w:cs="Times New Roman"/>
          <w:color w:val="222222"/>
          <w:szCs w:val="28"/>
        </w:rPr>
      </w:pPr>
      <w:r w:rsidRPr="00EC1593">
        <w:rPr>
          <w:rFonts w:eastAsia="Times New Roman" w:cs="Times New Roman"/>
          <w:color w:val="222222"/>
          <w:szCs w:val="28"/>
        </w:rPr>
        <w:t xml:space="preserve">Về thẩm quyền giải quyết tố cáo, Luật Tố cáo năm 2018 quy định về thẩm quyền giải quyết tố cáo hành vi vi phạm pháp luật trong việc thực hiện nhiệm vụ, công vụ trong cơ quan hành chính nhà nước (Điều 13). Ngoài ra, Luật còn bổ sung quy định về thẩm quyền giải quyết tố cáo hành vi vi phạm pháp luật trong việc thực hiện nhiệm vụ, công vụ trong Tòa án nhân dân, Viện kiểm sát nhân dân, Kiểm toán nhà nước và các cơ quan khác của Nhà nước (từ Điều 14 đến Điều 17). Luật cũng quy định về thẩm quyền giải quyết tố cáo hành vi vi phạm pháp luật trong thực hiện nhiệm vụ, công vụ trong đơn vị sự nghiệp công lập (Điều 18) và trong việc thực hiện nhiệm vụ của người có chức danh, chức vụ trong doanh nghiệp nhà nước. Luật tiếp tục kế thừa quy định của Luật Tố cáo năm 2011 khi quy định về thẩm quyền giải quyết tố cáo hành vi vi phạm pháp luật của người được giao thực hiện nhiệm vụ, công vụ mà không phải là cán bộ, công chức, viên chức (Điều 21). Tại Điều 20, Luật cũng giao Cơ quan trung ương của tổ chức chính trị, tổ chức chính trị – xã hội căn cứ vào nguyên tắc xác định thẩm quyền được quy định </w:t>
      </w:r>
      <w:r w:rsidRPr="00EC1593">
        <w:rPr>
          <w:rFonts w:eastAsia="Times New Roman" w:cs="Times New Roman"/>
          <w:color w:val="222222"/>
          <w:szCs w:val="28"/>
        </w:rPr>
        <w:lastRenderedPageBreak/>
        <w:t>trong Luật (tại Điều 12) để hướng dẫn về thẩm quyền giải quyết tố cáo hành vi vi phạm pháp luật trong việc thực hiện nhiệm vụ, công vụ trong tổ chức mình và của tổ chức, đơn vị do mình quản lý.</w:t>
      </w:r>
    </w:p>
    <w:p w:rsidR="00EC1593" w:rsidRPr="00EC1593" w:rsidRDefault="00606884" w:rsidP="00606884">
      <w:pPr>
        <w:spacing w:after="0" w:line="240" w:lineRule="auto"/>
        <w:ind w:firstLine="720"/>
        <w:jc w:val="both"/>
        <w:rPr>
          <w:rFonts w:eastAsia="Times New Roman" w:cs="Times New Roman"/>
          <w:color w:val="222222"/>
          <w:szCs w:val="28"/>
        </w:rPr>
      </w:pPr>
      <w:r w:rsidRPr="00606884">
        <w:rPr>
          <w:rFonts w:eastAsia="Times New Roman" w:cs="Times New Roman"/>
          <w:b/>
          <w:color w:val="222222"/>
          <w:szCs w:val="28"/>
        </w:rPr>
        <w:t>*</w:t>
      </w:r>
      <w:r w:rsidR="00EC1593" w:rsidRPr="00EC1593">
        <w:rPr>
          <w:rFonts w:eastAsia="Times New Roman" w:cs="Times New Roman"/>
          <w:b/>
          <w:color w:val="222222"/>
          <w:szCs w:val="28"/>
        </w:rPr>
        <w:t xml:space="preserve"> Về hình thức tố cáo, tiếp nhận, xử lý ban đầu thông tin tố cáo:</w:t>
      </w:r>
      <w:r w:rsidR="00EC1593" w:rsidRPr="00EC1593">
        <w:rPr>
          <w:rFonts w:eastAsia="Times New Roman" w:cs="Times New Roman"/>
          <w:color w:val="222222"/>
          <w:szCs w:val="28"/>
        </w:rPr>
        <w:t xml:space="preserve"> Về hình thức tố cáo: để xác định rõ trách nhiệm của người tố cáo, tránh tình trạng lợi dụng các hình thức tố cáo để tố cáo tràn lan, cố ý tố cáo sai sự thật, ảnh hưởng đến danh dự, uy tín của người bị tố cáo, Luật Tố cáo năm 2018 vẫn tiếp tục quy định hai hình thức tố cáo (như quy định của Luật Tố cáo năm 2011): tố cáo bằng đơn và tố cáo trực tiếp tại cơ quan, tổ chức có thẩm quyền. Tiếp nhận, xử lý ban đầu thông tin tố cáo: đây là bước quan trọng để các cơ quan có thẩm quyền quyết định thụ lý hay không thụ lý giải quyết tố cáo; do đó, Luật đã quy định cụ thể việc tiếp nhận, xử lý ban đầu thông tin tố cáo bảo đảm chặt chẽ. Luật cũng quy định trách nhiệm vào sổ, phân loại, xử lý ban đầu thông tin tố cáo, kiểm tra, xác minh thông tin về người tố cáo và điều kiện thụ lý tố cáo, xử lý tố cáo có dấu hiệu của tội phạm (Điều 23 đến Điều 27). Trong đó, có một số điểm mới như:</w:t>
      </w:r>
    </w:p>
    <w:p w:rsidR="00EC1593" w:rsidRPr="00EC1593" w:rsidRDefault="00EC1593" w:rsidP="00606884">
      <w:pPr>
        <w:spacing w:after="0" w:line="240" w:lineRule="auto"/>
        <w:ind w:firstLine="720"/>
        <w:jc w:val="both"/>
        <w:rPr>
          <w:rFonts w:eastAsia="Times New Roman" w:cs="Times New Roman"/>
          <w:color w:val="222222"/>
          <w:szCs w:val="28"/>
        </w:rPr>
      </w:pPr>
      <w:r w:rsidRPr="00606884">
        <w:rPr>
          <w:rFonts w:eastAsia="Times New Roman" w:cs="Times New Roman"/>
          <w:i/>
          <w:iCs/>
          <w:color w:val="222222"/>
          <w:szCs w:val="28"/>
        </w:rPr>
        <w:t>Một là</w:t>
      </w:r>
      <w:r w:rsidRPr="00EC1593">
        <w:rPr>
          <w:rFonts w:eastAsia="Times New Roman" w:cs="Times New Roman"/>
          <w:color w:val="222222"/>
          <w:szCs w:val="28"/>
        </w:rPr>
        <w:t>, đối với đơn tố cáo được gửi đến nhiều nơi, khoản 3 Điều 24 quy định: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p w:rsidR="00EC1593" w:rsidRPr="00EC1593" w:rsidRDefault="00EC1593" w:rsidP="00606884">
      <w:pPr>
        <w:spacing w:after="0" w:line="240" w:lineRule="auto"/>
        <w:ind w:firstLine="720"/>
        <w:jc w:val="both"/>
        <w:rPr>
          <w:rFonts w:eastAsia="Times New Roman" w:cs="Times New Roman"/>
          <w:color w:val="222222"/>
          <w:szCs w:val="28"/>
        </w:rPr>
      </w:pPr>
      <w:r w:rsidRPr="00606884">
        <w:rPr>
          <w:rFonts w:eastAsia="Times New Roman" w:cs="Times New Roman"/>
          <w:i/>
          <w:iCs/>
          <w:color w:val="222222"/>
          <w:szCs w:val="28"/>
        </w:rPr>
        <w:t>Hai là</w:t>
      </w:r>
      <w:r w:rsidRPr="00EC1593">
        <w:rPr>
          <w:rFonts w:eastAsia="Times New Roman" w:cs="Times New Roman"/>
          <w:color w:val="222222"/>
          <w:szCs w:val="28"/>
        </w:rPr>
        <w:t>, đối với tố cáo nặc danh, mạo danh, Điều 25 quy định: khi nhận được thông tin có nội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của Luật thì cơ quan, tổ chức, cá nhân có thẩm quyền không xử lý theo quy định của Luật Tố cáo. Tuy nhiên, trường hợp thông tin tố cáo nói trên lại có nội dung rõ ràng về người có hành vi vi phạm pháp luật, có tài liệu, chứng cứ cụ thể về hành vi vi phạm pháp luật và có cơ sở để thẩm tra, xác minh thì cơ quan, tổ chức, cá nhân tiếp nhận tiến hành việc thanh tra, kiểm tra theo thẩm quyền hoặc chuyển đến cơ quan, tổ chức, cá nhân có thẩm quyền để tiến hành việc thanh tra, kiểm tra phục vụ cho công tác quản lý. Quy định này nhằm tránh bỏ lọt hành vi vi phạm khi người tố cáo sợ bị trù dập, trả thù cá nhân hoặc vì lí do khác nên chỉ cung cấp chứng cứ và thư nặc danh.</w:t>
      </w:r>
    </w:p>
    <w:p w:rsidR="00EC1593" w:rsidRPr="00EC1593" w:rsidRDefault="00606884" w:rsidP="00606884">
      <w:pPr>
        <w:spacing w:after="0" w:line="240" w:lineRule="auto"/>
        <w:ind w:firstLine="720"/>
        <w:jc w:val="both"/>
        <w:rPr>
          <w:rFonts w:eastAsia="Times New Roman" w:cs="Times New Roman"/>
          <w:color w:val="222222"/>
          <w:szCs w:val="28"/>
        </w:rPr>
      </w:pPr>
      <w:r>
        <w:rPr>
          <w:rFonts w:eastAsia="Times New Roman" w:cs="Times New Roman"/>
          <w:b/>
          <w:color w:val="222222"/>
          <w:szCs w:val="28"/>
        </w:rPr>
        <w:t>*</w:t>
      </w:r>
      <w:r w:rsidR="00EC1593" w:rsidRPr="00EC1593">
        <w:rPr>
          <w:rFonts w:eastAsia="Times New Roman" w:cs="Times New Roman"/>
          <w:b/>
          <w:color w:val="222222"/>
          <w:szCs w:val="28"/>
        </w:rPr>
        <w:t xml:space="preserve"> Về trình tự, thủ tục giải quyết tố cáo</w:t>
      </w:r>
      <w:r w:rsidR="00EC1593" w:rsidRPr="00EC1593">
        <w:rPr>
          <w:rFonts w:eastAsia="Times New Roman" w:cs="Times New Roman"/>
          <w:color w:val="222222"/>
          <w:szCs w:val="28"/>
        </w:rPr>
        <w:t>: Nếu như Luật Tố cáo năm 2011 quy định trình tự, thủ tục giải quyết tố cáo bắt đầu từ khâu tiếp nhận tố cáo thì Luật Tố cáo năm 2018 quy định trình tự, thủ tục này bắt đầu từ khâu thụ lý tố cáo; đây cũng là thời điểm bắt đầu để tính thời hạn giải quyết tố cáo. Theo đó, tại Điều 28 Luật Tố cáo năm 2018 quy định trình tự giải quyết tố cáo được rút gọn lại chỉ còn 04 bước thay vì 05 bước như quy định của Luật cũ, cụ thể như sau: thụ lý tố cáo; xác minh nội dung tố cáo; kết luận nội dung tố cáo; xử lý kết luận nội dung tố cáo của người giải quyết tố cáo (bỏ bước công khai kết luận nội dung tố cáo, quyết định xử lý hành vi vi phạm pháp luật bị tố cáo của Luật Tố cáo năm 2011). Luật đã bổ sung một số quy định mới nhằm quy định chi tiết, cụ thể hơn về trình tự, thủ tục giải quyết tố cáo, cụ thể:</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xml:space="preserve">+ Bổ sung quy định về điều kiện thụ lý tố cáo (khoản 1 Điều 29), theo đó, người giải quyết tố cáo ra quyết định thụ lý tố cáo khi có đủ các điều kiện sau: tố cáo được thực hiện theo quy định tại Điều 23 của Luật; người tố cáo có đủ năng lực hành vi dân sự; </w:t>
      </w:r>
      <w:r w:rsidRPr="00EC1593">
        <w:rPr>
          <w:rFonts w:eastAsia="Times New Roman" w:cs="Times New Roman"/>
          <w:color w:val="222222"/>
          <w:szCs w:val="28"/>
        </w:rPr>
        <w:lastRenderedPageBreak/>
        <w:t>trường hợp không có đủ năng lực hành vi dân sự thì phải có người đại diện theo quy định của pháp luật; vụ việc thuộc thẩm quyền giải quyết tố cáo của cơ quan, tổ chức, cá nhân tiếp nhận tố cáo; nội dung tố cáo có cơ sở để xác định người vi phạm, hành vi vi phạm pháp luật. 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Sửa đổi quy định về thời hạn giải quyết tố cáo. Luật Tố cáo năm 2018 quy định thời hạn giải quyết tố cáo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 Trong khi đó, Luật Tố cáo năm 2011 quy định thời hạn giải quyết tố cáo là 60 ngày kể từ ngày thụ lý giải quyết tố cáo.</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Bổ sung quy định về rút tố cáo (Điều 33). Đây là nội dung mới được đưa vào Luật Tố cáo năm 2018, Luật Tố cáo năm 2011 không quy định về nội dung này. Theo đó, Điều 33 quy định rõ: người tố cáo có quyền rút toàn bộ nội dung tố cáo hoặc một phần nội dung tố cáo trước khi người giải quyết tố cáo ra kết luận nội dung tố cáo. Việc rút tố cáo phải được thực hiện bằng văn bản. Luật cũng quy định cụ thể việc xử lý đối với các trường hợp rút một phần nội dung tố cáo, rút tố cáo trong trường hợp nhiều người cùng tố cáo, trường hợp rút tố cáo do bị đe dọa, mua chuộc hoặc lợi dụng tố cáo để vu khống, xúc phạm, gây thiệt hại cho người bị tố cáo. Trường hợp người rút tố cáo nhưng có căn cứ xác định người tố cáo lợi dụng việc tố cáo để vu khống, xúc phạm, gây thiệt hại cho người bị tố cáo thì vẫn phải chịu trách nhiệm về hành vi tố cáo của mình, nếu gây thiệt hại thì phải bồi thường theo quy định của pháp luật.</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Bổ sung quy định về tạm đình chỉ, đình chỉ việc giải quyết tố cáo (Điều 34). Trước đây, Luật Tố cáo năm 2011 không quy định về điều này, trong khi đó, Luật Tố cáo năm 2018 cho phép người giải quyết tố cáo ra quyết định tạm đình chỉ việc giải quyết tố cáo khi cần đợi kết quả giải quyết của cơ quan, tổ chức, cá nhân khác hoặc đợi kết quả giải quyết vụ việc khác có liên quan hoặc cần đợi kết quả giám định bổ sung, giám định lại. Ngoài ra, Luật cũng quy định việc đình chỉ giải quyết tố cáo được thực hiện khi: người tố cáo rút toàn bộ nội dung tố cáo trừ trường hợp quy định tại khoản 3 Điều 33; người bị tố cáo là cá nhân chết và nội dung tố cáo chỉ liên quan đến trách nhiệm của người bị tố cáo; vụ việc đã được giải quyết bằng bản án, quyết định của Tòa án đã có hiệu lực pháp luật hoặc quyết định đã có hiệu lực của cơ quan, tổ chức, cá nhân có thẩm quyền.</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Luật cũng quy định cụ thể về việc tố cáo tiếp, việc xử lý đối với tố cáo tiếp và các căn cứ để giải quyết lại vụ việc tố cáo (Điều 37) nhằm bảo đảm mọi hành vi vi phạm đều được giải quyết kịp thời, đúng pháp luật; tránh tình trạng bao che vi phạm nhưng cũng tránh tình trạng tố cáo tràn lan, vượt cấp. Luật còn quy định về việc giải quyết tố cáo trong trường hợp vụ việc quá thời hạn quy định mà chưa được giải quyết (Điều 38).</w:t>
      </w:r>
    </w:p>
    <w:p w:rsidR="00EC1593" w:rsidRPr="00606884" w:rsidRDefault="00606884" w:rsidP="00606884">
      <w:pPr>
        <w:spacing w:after="0" w:line="240" w:lineRule="auto"/>
        <w:ind w:firstLine="720"/>
        <w:jc w:val="both"/>
        <w:rPr>
          <w:rFonts w:eastAsia="Times New Roman" w:cs="Times New Roman"/>
          <w:color w:val="222222"/>
          <w:szCs w:val="28"/>
        </w:rPr>
      </w:pPr>
      <w:r w:rsidRPr="00606884">
        <w:rPr>
          <w:rFonts w:eastAsia="Times New Roman" w:cs="Times New Roman"/>
          <w:b/>
          <w:color w:val="222222"/>
          <w:szCs w:val="28"/>
        </w:rPr>
        <w:t>*</w:t>
      </w:r>
      <w:r w:rsidR="00EC1593" w:rsidRPr="00606884">
        <w:rPr>
          <w:rFonts w:eastAsia="Times New Roman" w:cs="Times New Roman"/>
          <w:b/>
          <w:color w:val="222222"/>
          <w:szCs w:val="28"/>
        </w:rPr>
        <w:t>Giải quyết tố cáo đối với hành vi vi phạm pháp luật về quản lý nhà nước trong các lĩnh vực:</w:t>
      </w:r>
      <w:r w:rsidR="00EC1593" w:rsidRPr="00606884">
        <w:rPr>
          <w:rFonts w:eastAsia="Times New Roman" w:cs="Times New Roman"/>
          <w:color w:val="222222"/>
          <w:szCs w:val="28"/>
        </w:rPr>
        <w:t xml:space="preserve"> Luật tiếp tục kế thừa các quy định của Luật Tố cáo năm 2011 về giải quyết tố cáo hành vi vi phạm pháp luật về quản lý nhà nước trong các lĩnh vực. Theo đó, thẩm quyền giải quyết tố cáo được xác định theo nguyên tắc: tố cáo hành vi vi phạm </w:t>
      </w:r>
      <w:r w:rsidR="00EC1593" w:rsidRPr="00606884">
        <w:rPr>
          <w:rFonts w:eastAsia="Times New Roman" w:cs="Times New Roman"/>
          <w:color w:val="222222"/>
          <w:szCs w:val="28"/>
        </w:rPr>
        <w:lastRenderedPageBreak/>
        <w:t>pháp luật của cơ quan, tổ chức, cá nhân mà nội dung liên quan đến chức năng quản lý nhà nước của cơ quan nào thì cơ quan đó có trách nhiệm giải quyết (khoản 1 Điều 41). Trường hợp tố cáo nhiều hành vi vi phạm pháp luật thuộc chức năng quản lý nhà nước của nhiều cơ quan thì các cơ quan trong phạm vi nhiệm vụ, quyền hạn của mình có trách nhiệm phối hợp để thống nhất xác định cơ quan có thẩm quyền chủ trì giải quyết hoặc báo cáo cơ quan quản lý nhà nước cấp trên quyết định giao cho một cơ quan có thẩm quyền chủ trì giải quyết (khoản 2 Điều 41). Trường hợp tố cáo về hành vi vi phạm pháp luật thuộc thẩm quyền giải quyết của nhiều cơ quan thì cơ quan thụ lý đầu tiên có thẩm quyền giải quyết (khoản 3 Điều 41).</w:t>
      </w:r>
    </w:p>
    <w:p w:rsidR="00EC1593" w:rsidRPr="00EC1593" w:rsidRDefault="00EC1593" w:rsidP="00606884">
      <w:pPr>
        <w:spacing w:after="0" w:line="240" w:lineRule="auto"/>
        <w:jc w:val="both"/>
        <w:rPr>
          <w:rFonts w:eastAsia="Times New Roman" w:cs="Times New Roman"/>
          <w:color w:val="222222"/>
          <w:szCs w:val="28"/>
        </w:rPr>
      </w:pPr>
      <w:r w:rsidRPr="00EC1593">
        <w:rPr>
          <w:rFonts w:eastAsia="Times New Roman" w:cs="Times New Roman"/>
          <w:color w:val="222222"/>
          <w:szCs w:val="28"/>
        </w:rPr>
        <w:t>Về trình tự, thủ tục giải quyết tố cáo, cơ bản được thực hiện như khi giải quyết tố cáo hành vi vi phạm của cán bộ, công chức, viên chức trong thực hiện nhiệm vụ, công vụ, trừ trường hợp tố cáo có nội dung rõ ràng, chứng cứ cụ thể có cơ sở để xử lý ngay. Đối với trường hợp này, việc giải quyết tố cáo được tiến hành theo trình tự rút gọn, nhằm xử lý nhanh chóng, ngăn chặn kịp thời hành vi vi phạm, phù hợp với tính chất, yêu cầu xử lý đối với các hành vi vi phạm pháp luật về quản lý nhà nước trong các lĩnh vực (Điều 43).</w:t>
      </w:r>
    </w:p>
    <w:p w:rsidR="00EC1593" w:rsidRPr="00EC1593" w:rsidRDefault="00606884" w:rsidP="00606884">
      <w:pPr>
        <w:spacing w:after="0" w:line="240" w:lineRule="auto"/>
        <w:ind w:firstLine="720"/>
        <w:jc w:val="both"/>
        <w:rPr>
          <w:rFonts w:eastAsia="Times New Roman" w:cs="Times New Roman"/>
          <w:color w:val="222222"/>
          <w:szCs w:val="28"/>
        </w:rPr>
      </w:pPr>
      <w:r w:rsidRPr="00606884">
        <w:rPr>
          <w:rFonts w:eastAsia="Times New Roman" w:cs="Times New Roman"/>
          <w:b/>
          <w:color w:val="222222"/>
          <w:szCs w:val="28"/>
        </w:rPr>
        <w:t>*</w:t>
      </w:r>
      <w:r w:rsidR="00EC1593" w:rsidRPr="00EC1593">
        <w:rPr>
          <w:rFonts w:eastAsia="Times New Roman" w:cs="Times New Roman"/>
          <w:b/>
          <w:color w:val="222222"/>
          <w:szCs w:val="28"/>
        </w:rPr>
        <w:t>Trách nhiệm tổ chức thực hiện kết luận nội dung tố cáo:</w:t>
      </w:r>
      <w:r w:rsidR="00EC1593" w:rsidRPr="00EC1593">
        <w:rPr>
          <w:rFonts w:eastAsia="Times New Roman" w:cs="Times New Roman"/>
          <w:color w:val="222222"/>
          <w:szCs w:val="28"/>
        </w:rPr>
        <w:t xml:space="preserve"> Tổ chức thi hành kết luận nội dung tố cáo có ý nghĩa quan trọng trong việc đảm bảo hiệu lực, hiệu quả của công tác giải quyết tố cáo, bảo vệ các quyền và lợi ích hợp pháp của công dân, cơ quan, tổ chức, tăng cường trật tự, kỷ cương pháp luật. Do vậy, Luật Tố cáo năm 2018 đã bổ sung Chương V về trách nhiệm tổ chức thực hiện kết luận nội dung tố cáo, trong đó quy định cụ thể về trách nhiệm của người giải quyết tố cáo (Điều 44), trách nhiệm của người bị tố cáo (Điều 45), trách nhiệm của cơ quan, tổ chức, cá nhân có liên quan (Điều 46).</w:t>
      </w:r>
    </w:p>
    <w:p w:rsidR="00EC1593" w:rsidRPr="00EC1593" w:rsidRDefault="00606884" w:rsidP="00606884">
      <w:pPr>
        <w:spacing w:after="0" w:line="240" w:lineRule="auto"/>
        <w:ind w:firstLine="720"/>
        <w:jc w:val="both"/>
        <w:rPr>
          <w:rFonts w:eastAsia="Times New Roman" w:cs="Times New Roman"/>
          <w:color w:val="222222"/>
          <w:szCs w:val="28"/>
        </w:rPr>
      </w:pPr>
      <w:r w:rsidRPr="00606884">
        <w:rPr>
          <w:rFonts w:eastAsia="Times New Roman" w:cs="Times New Roman"/>
          <w:b/>
          <w:color w:val="222222"/>
          <w:szCs w:val="28"/>
        </w:rPr>
        <w:t>*</w:t>
      </w:r>
      <w:r w:rsidR="00EC1593" w:rsidRPr="00EC1593">
        <w:rPr>
          <w:rFonts w:eastAsia="Times New Roman" w:cs="Times New Roman"/>
          <w:b/>
          <w:color w:val="222222"/>
          <w:szCs w:val="28"/>
        </w:rPr>
        <w:t xml:space="preserve"> Bảo vệ người tố cáo:</w:t>
      </w:r>
      <w:r w:rsidR="00EC1593" w:rsidRPr="00EC1593">
        <w:rPr>
          <w:rFonts w:eastAsia="Times New Roman" w:cs="Times New Roman"/>
          <w:color w:val="222222"/>
          <w:szCs w:val="28"/>
        </w:rPr>
        <w:t xml:space="preserve"> Việc bảo vệ người tố cáo nhằm bảo vệ, khuyến khích, động viên người dân dũng cảm đấu tranh chống lại các hành vi tham nhũng, tiêu cực, vi phạm pháp luật, giúp các cơ quan nhà nước phát hiện và xử lý kịp thời, nghiêm minh các hành vi vi phạm pháp luật. Đồng thời, bảo vệ người tố cáo là trách nhiệm của Nhà nước, là sự thể hiện cụ thể và sinh động bản chất của Nhà nước ta là Nhà nước của nhân dân, do nhân dân và vì nhân dân.</w:t>
      </w:r>
    </w:p>
    <w:p w:rsidR="00EC1593" w:rsidRPr="00EC1593" w:rsidRDefault="00EC1593" w:rsidP="00606884">
      <w:pPr>
        <w:spacing w:after="0" w:line="240" w:lineRule="auto"/>
        <w:jc w:val="both"/>
        <w:rPr>
          <w:rFonts w:eastAsia="Times New Roman" w:cs="Times New Roman"/>
          <w:color w:val="222222"/>
          <w:szCs w:val="28"/>
        </w:rPr>
      </w:pPr>
      <w:r w:rsidRPr="00EC1593">
        <w:rPr>
          <w:rFonts w:eastAsia="Times New Roman" w:cs="Times New Roman"/>
          <w:color w:val="222222"/>
          <w:szCs w:val="28"/>
        </w:rPr>
        <w:t>Trên cơ sở kế thừa và phát triển các quy định về bảo vệ tố cáo của Luật Tố cáo năm 2011 và Nghị định số 76/2012/NĐ-CP ngày 03/10/2012 của Chính phủ quy định chi tiết thi hành một số điều của Luật Tố cáo, Luật Tố cáo năm 2018 đã dành một chương (Chương VI) quy định về bảo vệ người tố cáo; theo đó, Luật quy định các vấn đề cơ bản như:</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Người được bảo vệ bao gồm: người tố cáo, vợ, chồng, cha đẻ, mẹ đẻ, cha nuôi, mẹ nuôi, con đẻ, con nuôi của người tố cáo (khoản 1 Điều 47).</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Phạm vi bảo vệ là thông tin của người tố cáo, vị trí công tác, việc làm, tính mạng, sức khỏe, tài sản, danh dự, nhân phẩm của người được bảo vệ (khoản 1 Điều 47).</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xml:space="preserve">+ Quyền và nghĩa vụ của người được bảo vệ: Điều 48 Luật quy định: người được bảo vệ có các quyền như: quyền được biết về các biện pháp bảo vệ; được giải thích về quyền và nghĩa vụ khi được áp dụng biện pháp bảo vệ; đề nghị thay đổi, bổ sung, chấm dứt việc áp dụng biện pháp bảo vệ; từ chối áp dụng biện pháp bảo vệ; được bồi thường theo quy định của pháp luật về trách nhiệm bồi thường của Nhà nước trong trường hợp người tố cáo đã đề nghị người giải quyết tố cáo, cơ quan có thẩm quyền áp dụng biện pháp bảo vệ mà không được áp dụng biện pháp bảo vệ hoặc áp dụng không kịp thời, không đúng quy định của pháp luật, gây thiệt hại về tính mạng, sức khỏe, tài sản, tinh thần cho người được bảo vệ. Ngoài ra, Luật cũng quy định: người được bảo vệ có nghĩa </w:t>
      </w:r>
      <w:r w:rsidRPr="00EC1593">
        <w:rPr>
          <w:rFonts w:eastAsia="Times New Roman" w:cs="Times New Roman"/>
          <w:color w:val="222222"/>
          <w:szCs w:val="28"/>
        </w:rPr>
        <w:lastRenderedPageBreak/>
        <w:t>vụ chấp hành nghiêm chỉnh yêu cầu của cơ quan có thẩm quyền áp dụng biện pháp bảo vệ; giữ bí mật thông tin về việc được bảo vệ; thông báo kịp thời đến cơ quan áp dụng biện pháp bảo vệ về những vấn đề phát sinh trong thời gian được bảo vệ.</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Về cơ quan có thẩm quyền áp dụng biện pháp bảo vệ, Luật quy định: trách nhiệm bảo vệ trước hết thuộc về cơ quan có thẩm quyền giải quyết tố cáo. Bên cạnh đó, các cơ quan khác, trong phạm vi nhiệm vụ, quyền hạn của mình cũng có trách nhiệm bảo vệ người tố cáo và những người được bảo vệ theo quy định của Luật. Đó là cơ quan tiếp nhận, xác minh nội dung tố cáo, cơ quan Công an, cơ quan quản lý nhà nước về cán bộ, công chức, viên chức, lao động, Ủy ban nhân dân các cấp, Công đoàn các cấp và các cơ quan, tổ chức khác (Điều 49).</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Về trình tự, thủ tục bảo vệ, Luật quy định gồm: đề nghị áp dụng biện pháp bảo vệ; xem xét, quyết định bảo vệ người tố cáo; quyết định áp dụng biện pháp bảo vệ; thay đổi, bổ sung áp dụng biện pháp bảo vệ nếu xét thấy cần thiết trên cơ sở đề nghị bằng văn bản của người được bảo vệ; chấm dứt việc áp dụng biện phá bảo vệ (từ Điều 50 đến Điều 55).</w:t>
      </w:r>
    </w:p>
    <w:p w:rsidR="00EC1593" w:rsidRPr="00EC1593" w:rsidRDefault="00EC1593" w:rsidP="00606884">
      <w:pPr>
        <w:spacing w:after="0" w:line="240" w:lineRule="auto"/>
        <w:ind w:firstLine="720"/>
        <w:jc w:val="both"/>
        <w:rPr>
          <w:rFonts w:eastAsia="Times New Roman" w:cs="Times New Roman"/>
          <w:color w:val="222222"/>
          <w:szCs w:val="28"/>
        </w:rPr>
      </w:pPr>
      <w:r w:rsidRPr="00EC1593">
        <w:rPr>
          <w:rFonts w:eastAsia="Times New Roman" w:cs="Times New Roman"/>
          <w:color w:val="222222"/>
          <w:szCs w:val="28"/>
        </w:rPr>
        <w:t>+ Về các biện pháp bảo vệ, Luật quy định các biện pháp cụ thể để bảo vệ bí mật thông tin; bảo vệ vị trí công tác, việc làm; bảo vệ tính mạng, sức khỏe, tài sản, danh dự, nhân phẩm cho người được bảo vệ (từ Điều 56 đến Điều 58).</w:t>
      </w:r>
    </w:p>
    <w:p w:rsidR="00EC1593" w:rsidRPr="00606884" w:rsidRDefault="00606884" w:rsidP="00606884">
      <w:pPr>
        <w:spacing w:after="0" w:line="240" w:lineRule="auto"/>
        <w:ind w:firstLine="720"/>
        <w:jc w:val="both"/>
        <w:rPr>
          <w:rFonts w:eastAsia="Times New Roman" w:cs="Times New Roman"/>
          <w:color w:val="222222"/>
          <w:szCs w:val="28"/>
        </w:rPr>
      </w:pPr>
      <w:r w:rsidRPr="00606884">
        <w:rPr>
          <w:rFonts w:eastAsia="Times New Roman" w:cs="Times New Roman"/>
          <w:b/>
          <w:color w:val="222222"/>
          <w:szCs w:val="28"/>
        </w:rPr>
        <w:t>*</w:t>
      </w:r>
      <w:r w:rsidR="00EC1593" w:rsidRPr="00606884">
        <w:rPr>
          <w:rFonts w:eastAsia="Times New Roman" w:cs="Times New Roman"/>
          <w:b/>
          <w:color w:val="222222"/>
          <w:szCs w:val="28"/>
        </w:rPr>
        <w:t>Trách nhiệm của cơ quan, tổ chức trong việc quản lý công tác giải quyết tố cáo:</w:t>
      </w:r>
      <w:r w:rsidR="00EC1593" w:rsidRPr="00606884">
        <w:rPr>
          <w:rFonts w:eastAsia="Times New Roman" w:cs="Times New Roman"/>
          <w:color w:val="222222"/>
          <w:szCs w:val="28"/>
        </w:rPr>
        <w:t xml:space="preserve"> Trước hết, Luật Tố cáo năm 2018 quy định về trách nhiệm của cơ quan quản lý nhà nước về công tác giải quyết tố cáo (Điều 59). Theo đó, Chính phủ thống nhất quản lý nhà nước về công tác giải quyết tố cáo trong phạm vi cả nước; trực tiếp quản lý công tác giải quyết tố cáo của các cơ quan thuộc hệ thống hành chính nhà nước. Thanh tra Chính phủ là cơ quan đầu mối giúp Chính phủ thực hiện quản lý nhà nước về công tác giải quyết tố cáo trong phạm vi thẩm quyền của Chính phủ. Các Bộ, cơ quan ngang Bộ, Ủy ban nhân dân các cấp thực hiện quản lý nhà nước về công tác giải quyết tố cáo trong phạm vi nhiệm vụ, quyền hạn của mình. Ngoài ra, Luật còn quy định trách nhiệm của Toà án nhân dân, Viện kiểm sát nhân dân, Kiểm toán nhà nước, cơ quan khác của Nhà nước, tổ chức chính trị, tổ chức chính trị – xã hội trong quản lý công tác giải quyết tố cáo (Điều 60) và trách nhiệm thông tin, báo cáo trong công tác giải quyết tố cáo (Điều 61).</w:t>
      </w:r>
    </w:p>
    <w:p w:rsidR="00EC1593" w:rsidRPr="00EC1593" w:rsidRDefault="00606884" w:rsidP="00606884">
      <w:pPr>
        <w:spacing w:after="0" w:line="240" w:lineRule="auto"/>
        <w:ind w:firstLine="720"/>
        <w:jc w:val="both"/>
        <w:rPr>
          <w:rFonts w:eastAsia="Times New Roman" w:cs="Times New Roman"/>
          <w:color w:val="222222"/>
          <w:szCs w:val="28"/>
        </w:rPr>
      </w:pPr>
      <w:r w:rsidRPr="00606884">
        <w:rPr>
          <w:rFonts w:eastAsia="Times New Roman" w:cs="Times New Roman"/>
          <w:b/>
          <w:color w:val="222222"/>
          <w:szCs w:val="28"/>
        </w:rPr>
        <w:t>*</w:t>
      </w:r>
      <w:r w:rsidR="00EC1593" w:rsidRPr="00EC1593">
        <w:rPr>
          <w:rFonts w:eastAsia="Times New Roman" w:cs="Times New Roman"/>
          <w:b/>
          <w:color w:val="222222"/>
          <w:szCs w:val="28"/>
        </w:rPr>
        <w:t xml:space="preserve"> Quy định về khen thưởng và xử lý vi phạm:</w:t>
      </w:r>
      <w:r w:rsidR="00EC1593" w:rsidRPr="00EC1593">
        <w:rPr>
          <w:rFonts w:eastAsia="Times New Roman" w:cs="Times New Roman"/>
          <w:color w:val="222222"/>
          <w:szCs w:val="28"/>
        </w:rPr>
        <w:t xml:space="preserve"> Luật quy định những vấn đề chung về khen thưởng và xử lý vi phạm trong tố cáo. Theo đó, người trung thực, tích cực cộng tác với cơ quan, tổ chức, cá nhân có thẩm quyền trong việc phát hiện, ngăn chặn và xử lý hành vi vi phạm pháp luật thì được khen thưởng theo quy định của pháp luật. Tuy nhiên, nếu người giải quyết tố cáo thực hiện hành vi bị nghiêm cấm trong giải quyết tố cáo hoặc vi phạm các quy định khác của pháp luật trong việc giải quyết tố cáo thì tùy theo tính chất, mức độ vi phạm mà bị xử lý kỷ luật hoặc bị truy cứu trách nhiệm hình sự; nếu gây thiệt hại thì phải bồi thường, bồi hoàn theo quy định của pháp luật (Điều 63). Ngoài ra, Luật còn quy định về việc xử lý hành vi vi phạm của người có trách nhiệm chấp hành quyết định xử lý hành vi vi phạm bị tố cáo và của người tố cáo, cũng như những người khác có liên quan (Điều 64 và Điều 65).</w:t>
      </w:r>
    </w:p>
    <w:p w:rsidR="00EC1593" w:rsidRDefault="00606884" w:rsidP="00606884">
      <w:pPr>
        <w:spacing w:after="0" w:line="240" w:lineRule="auto"/>
        <w:jc w:val="both"/>
        <w:rPr>
          <w:rFonts w:eastAsia="Times New Roman" w:cs="Times New Roman"/>
          <w:color w:val="222222"/>
          <w:szCs w:val="28"/>
        </w:rPr>
      </w:pPr>
      <w:r>
        <w:rPr>
          <w:rFonts w:eastAsia="Times New Roman" w:cs="Times New Roman"/>
          <w:color w:val="222222"/>
          <w:szCs w:val="28"/>
        </w:rPr>
        <w:tab/>
        <w:t>Trên đây là những nội dung cơ bản của Luật tố cáo năm 2018./.</w:t>
      </w:r>
    </w:p>
    <w:p w:rsidR="00901F4C" w:rsidRPr="00901F4C" w:rsidRDefault="00901F4C" w:rsidP="00901F4C">
      <w:pPr>
        <w:spacing w:after="0" w:line="240" w:lineRule="auto"/>
        <w:jc w:val="right"/>
        <w:rPr>
          <w:rFonts w:eastAsia="Times New Roman" w:cs="Times New Roman"/>
          <w:i/>
          <w:color w:val="222222"/>
          <w:szCs w:val="28"/>
        </w:rPr>
      </w:pPr>
      <w:r w:rsidRPr="00901F4C">
        <w:rPr>
          <w:rFonts w:eastAsia="Times New Roman" w:cs="Times New Roman"/>
          <w:i/>
          <w:color w:val="222222"/>
          <w:szCs w:val="28"/>
        </w:rPr>
        <w:t>Phường Nguyễn Du, tháng 4/2019</w:t>
      </w:r>
    </w:p>
    <w:p w:rsidR="00E770F1" w:rsidRPr="00EC1593" w:rsidRDefault="00E770F1" w:rsidP="00E770F1">
      <w:pPr>
        <w:spacing w:after="0" w:line="240" w:lineRule="auto"/>
        <w:jc w:val="center"/>
        <w:rPr>
          <w:rFonts w:eastAsia="Times New Roman" w:cs="Times New Roman"/>
          <w:b/>
          <w:color w:val="222222"/>
          <w:szCs w:val="28"/>
        </w:rPr>
      </w:pPr>
      <w:r w:rsidRPr="00E770F1">
        <w:rPr>
          <w:rFonts w:eastAsia="Times New Roman" w:cs="Times New Roman"/>
          <w:b/>
          <w:color w:val="222222"/>
          <w:szCs w:val="28"/>
        </w:rPr>
        <w:t>BAN TƯ PHÁP PHƯỜNG</w:t>
      </w:r>
    </w:p>
    <w:p w:rsidR="00546999" w:rsidRDefault="00546999">
      <w:pPr>
        <w:rPr>
          <w:rFonts w:cs="Times New Roman"/>
          <w:szCs w:val="28"/>
        </w:rPr>
      </w:pPr>
      <w:r>
        <w:rPr>
          <w:rFonts w:cs="Times New Roman"/>
          <w:szCs w:val="28"/>
        </w:rPr>
        <w:br w:type="page"/>
      </w:r>
      <w:bookmarkStart w:id="0" w:name="_GoBack"/>
      <w:bookmarkEnd w:id="0"/>
    </w:p>
    <w:p w:rsidR="00546999" w:rsidRDefault="00546999">
      <w:pPr>
        <w:rPr>
          <w:rFonts w:cs="Times New Roman"/>
          <w:szCs w:val="28"/>
        </w:rPr>
      </w:pPr>
      <w:r>
        <w:rPr>
          <w:rFonts w:cs="Times New Roman"/>
          <w:szCs w:val="28"/>
        </w:rPr>
        <w:lastRenderedPageBreak/>
        <w:br w:type="page"/>
      </w:r>
    </w:p>
    <w:p w:rsidR="00546999" w:rsidRDefault="00546999">
      <w:pPr>
        <w:rPr>
          <w:rFonts w:cs="Times New Roman"/>
          <w:szCs w:val="28"/>
        </w:rPr>
      </w:pPr>
      <w:r>
        <w:rPr>
          <w:rFonts w:cs="Times New Roman"/>
          <w:szCs w:val="28"/>
        </w:rPr>
        <w:lastRenderedPageBreak/>
        <w:br w:type="page"/>
      </w:r>
    </w:p>
    <w:p w:rsidR="00570FE1" w:rsidRPr="00606884" w:rsidRDefault="00570FE1" w:rsidP="00606884">
      <w:pPr>
        <w:spacing w:after="0" w:line="240" w:lineRule="auto"/>
        <w:jc w:val="both"/>
        <w:rPr>
          <w:rFonts w:cs="Times New Roman"/>
          <w:szCs w:val="28"/>
        </w:rPr>
      </w:pPr>
    </w:p>
    <w:sectPr w:rsidR="00570FE1" w:rsidRPr="00606884" w:rsidSect="00037C84">
      <w:footerReference w:type="default" r:id="rId9"/>
      <w:pgSz w:w="11907" w:h="16840" w:code="9"/>
      <w:pgMar w:top="794" w:right="794" w:bottom="794" w:left="107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9EA" w:rsidRDefault="00C649EA" w:rsidP="00037C84">
      <w:pPr>
        <w:spacing w:after="0" w:line="240" w:lineRule="auto"/>
      </w:pPr>
      <w:r>
        <w:separator/>
      </w:r>
    </w:p>
  </w:endnote>
  <w:endnote w:type="continuationSeparator" w:id="0">
    <w:p w:rsidR="00C649EA" w:rsidRDefault="00C649EA" w:rsidP="0003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699333"/>
      <w:docPartObj>
        <w:docPartGallery w:val="Page Numbers (Bottom of Page)"/>
        <w:docPartUnique/>
      </w:docPartObj>
    </w:sdtPr>
    <w:sdtEndPr>
      <w:rPr>
        <w:noProof/>
      </w:rPr>
    </w:sdtEndPr>
    <w:sdtContent>
      <w:p w:rsidR="00037C84" w:rsidRDefault="00037C84">
        <w:pPr>
          <w:pStyle w:val="Footer"/>
          <w:jc w:val="right"/>
        </w:pPr>
        <w:r>
          <w:fldChar w:fldCharType="begin"/>
        </w:r>
        <w:r>
          <w:instrText xml:space="preserve"> PAGE   \* MERGEFORMAT </w:instrText>
        </w:r>
        <w:r>
          <w:fldChar w:fldCharType="separate"/>
        </w:r>
        <w:r w:rsidR="00901F4C">
          <w:rPr>
            <w:noProof/>
          </w:rPr>
          <w:t>6</w:t>
        </w:r>
        <w:r>
          <w:rPr>
            <w:noProof/>
          </w:rPr>
          <w:fldChar w:fldCharType="end"/>
        </w:r>
      </w:p>
    </w:sdtContent>
  </w:sdt>
  <w:p w:rsidR="00037C84" w:rsidRDefault="00037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9EA" w:rsidRDefault="00C649EA" w:rsidP="00037C84">
      <w:pPr>
        <w:spacing w:after="0" w:line="240" w:lineRule="auto"/>
      </w:pPr>
      <w:r>
        <w:separator/>
      </w:r>
    </w:p>
  </w:footnote>
  <w:footnote w:type="continuationSeparator" w:id="0">
    <w:p w:rsidR="00C649EA" w:rsidRDefault="00C649EA" w:rsidP="00037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50B34"/>
    <w:multiLevelType w:val="hybridMultilevel"/>
    <w:tmpl w:val="C11E56CE"/>
    <w:lvl w:ilvl="0" w:tplc="5964C9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076285"/>
    <w:multiLevelType w:val="hybridMultilevel"/>
    <w:tmpl w:val="75B413DE"/>
    <w:lvl w:ilvl="0" w:tplc="AFFE22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93"/>
    <w:rsid w:val="00037C84"/>
    <w:rsid w:val="00176C24"/>
    <w:rsid w:val="00280E79"/>
    <w:rsid w:val="00546999"/>
    <w:rsid w:val="00570FE1"/>
    <w:rsid w:val="00606884"/>
    <w:rsid w:val="006509D1"/>
    <w:rsid w:val="00901F4C"/>
    <w:rsid w:val="00C649EA"/>
    <w:rsid w:val="00E770F1"/>
    <w:rsid w:val="00EC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159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593"/>
    <w:rPr>
      <w:rFonts w:eastAsia="Times New Roman" w:cs="Times New Roman"/>
      <w:b/>
      <w:bCs/>
      <w:kern w:val="36"/>
      <w:sz w:val="48"/>
      <w:szCs w:val="48"/>
    </w:rPr>
  </w:style>
  <w:style w:type="character" w:customStyle="1" w:styleId="td-post-date">
    <w:name w:val="td-post-date"/>
    <w:basedOn w:val="DefaultParagraphFont"/>
    <w:rsid w:val="00EC1593"/>
  </w:style>
  <w:style w:type="character" w:customStyle="1" w:styleId="td-nr-views-30579">
    <w:name w:val="td-nr-views-30579"/>
    <w:basedOn w:val="DefaultParagraphFont"/>
    <w:rsid w:val="00EC1593"/>
  </w:style>
  <w:style w:type="character" w:styleId="Hyperlink">
    <w:name w:val="Hyperlink"/>
    <w:basedOn w:val="DefaultParagraphFont"/>
    <w:uiPriority w:val="99"/>
    <w:semiHidden/>
    <w:unhideWhenUsed/>
    <w:rsid w:val="00EC1593"/>
    <w:rPr>
      <w:color w:val="0000FF"/>
      <w:u w:val="single"/>
    </w:rPr>
  </w:style>
  <w:style w:type="paragraph" w:styleId="NormalWeb">
    <w:name w:val="Normal (Web)"/>
    <w:basedOn w:val="Normal"/>
    <w:uiPriority w:val="99"/>
    <w:semiHidden/>
    <w:unhideWhenUsed/>
    <w:rsid w:val="00EC15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C1593"/>
    <w:rPr>
      <w:b/>
      <w:bCs/>
    </w:rPr>
  </w:style>
  <w:style w:type="character" w:styleId="Emphasis">
    <w:name w:val="Emphasis"/>
    <w:basedOn w:val="DefaultParagraphFont"/>
    <w:uiPriority w:val="20"/>
    <w:qFormat/>
    <w:rsid w:val="00EC1593"/>
    <w:rPr>
      <w:i/>
      <w:iCs/>
    </w:rPr>
  </w:style>
  <w:style w:type="paragraph" w:styleId="BalloonText">
    <w:name w:val="Balloon Text"/>
    <w:basedOn w:val="Normal"/>
    <w:link w:val="BalloonTextChar"/>
    <w:uiPriority w:val="99"/>
    <w:semiHidden/>
    <w:unhideWhenUsed/>
    <w:rsid w:val="00EC1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93"/>
    <w:rPr>
      <w:rFonts w:ascii="Tahoma" w:hAnsi="Tahoma" w:cs="Tahoma"/>
      <w:sz w:val="16"/>
      <w:szCs w:val="16"/>
    </w:rPr>
  </w:style>
  <w:style w:type="paragraph" w:styleId="ListParagraph">
    <w:name w:val="List Paragraph"/>
    <w:basedOn w:val="Normal"/>
    <w:uiPriority w:val="34"/>
    <w:qFormat/>
    <w:rsid w:val="00606884"/>
    <w:pPr>
      <w:ind w:left="720"/>
      <w:contextualSpacing/>
    </w:pPr>
  </w:style>
  <w:style w:type="paragraph" w:styleId="Header">
    <w:name w:val="header"/>
    <w:basedOn w:val="Normal"/>
    <w:link w:val="HeaderChar"/>
    <w:uiPriority w:val="99"/>
    <w:unhideWhenUsed/>
    <w:rsid w:val="0003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C84"/>
  </w:style>
  <w:style w:type="paragraph" w:styleId="Footer">
    <w:name w:val="footer"/>
    <w:basedOn w:val="Normal"/>
    <w:link w:val="FooterChar"/>
    <w:uiPriority w:val="99"/>
    <w:unhideWhenUsed/>
    <w:rsid w:val="0003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159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593"/>
    <w:rPr>
      <w:rFonts w:eastAsia="Times New Roman" w:cs="Times New Roman"/>
      <w:b/>
      <w:bCs/>
      <w:kern w:val="36"/>
      <w:sz w:val="48"/>
      <w:szCs w:val="48"/>
    </w:rPr>
  </w:style>
  <w:style w:type="character" w:customStyle="1" w:styleId="td-post-date">
    <w:name w:val="td-post-date"/>
    <w:basedOn w:val="DefaultParagraphFont"/>
    <w:rsid w:val="00EC1593"/>
  </w:style>
  <w:style w:type="character" w:customStyle="1" w:styleId="td-nr-views-30579">
    <w:name w:val="td-nr-views-30579"/>
    <w:basedOn w:val="DefaultParagraphFont"/>
    <w:rsid w:val="00EC1593"/>
  </w:style>
  <w:style w:type="character" w:styleId="Hyperlink">
    <w:name w:val="Hyperlink"/>
    <w:basedOn w:val="DefaultParagraphFont"/>
    <w:uiPriority w:val="99"/>
    <w:semiHidden/>
    <w:unhideWhenUsed/>
    <w:rsid w:val="00EC1593"/>
    <w:rPr>
      <w:color w:val="0000FF"/>
      <w:u w:val="single"/>
    </w:rPr>
  </w:style>
  <w:style w:type="paragraph" w:styleId="NormalWeb">
    <w:name w:val="Normal (Web)"/>
    <w:basedOn w:val="Normal"/>
    <w:uiPriority w:val="99"/>
    <w:semiHidden/>
    <w:unhideWhenUsed/>
    <w:rsid w:val="00EC15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C1593"/>
    <w:rPr>
      <w:b/>
      <w:bCs/>
    </w:rPr>
  </w:style>
  <w:style w:type="character" w:styleId="Emphasis">
    <w:name w:val="Emphasis"/>
    <w:basedOn w:val="DefaultParagraphFont"/>
    <w:uiPriority w:val="20"/>
    <w:qFormat/>
    <w:rsid w:val="00EC1593"/>
    <w:rPr>
      <w:i/>
      <w:iCs/>
    </w:rPr>
  </w:style>
  <w:style w:type="paragraph" w:styleId="BalloonText">
    <w:name w:val="Balloon Text"/>
    <w:basedOn w:val="Normal"/>
    <w:link w:val="BalloonTextChar"/>
    <w:uiPriority w:val="99"/>
    <w:semiHidden/>
    <w:unhideWhenUsed/>
    <w:rsid w:val="00EC1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93"/>
    <w:rPr>
      <w:rFonts w:ascii="Tahoma" w:hAnsi="Tahoma" w:cs="Tahoma"/>
      <w:sz w:val="16"/>
      <w:szCs w:val="16"/>
    </w:rPr>
  </w:style>
  <w:style w:type="paragraph" w:styleId="ListParagraph">
    <w:name w:val="List Paragraph"/>
    <w:basedOn w:val="Normal"/>
    <w:uiPriority w:val="34"/>
    <w:qFormat/>
    <w:rsid w:val="00606884"/>
    <w:pPr>
      <w:ind w:left="720"/>
      <w:contextualSpacing/>
    </w:pPr>
  </w:style>
  <w:style w:type="paragraph" w:styleId="Header">
    <w:name w:val="header"/>
    <w:basedOn w:val="Normal"/>
    <w:link w:val="HeaderChar"/>
    <w:uiPriority w:val="99"/>
    <w:unhideWhenUsed/>
    <w:rsid w:val="0003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C84"/>
  </w:style>
  <w:style w:type="paragraph" w:styleId="Footer">
    <w:name w:val="footer"/>
    <w:basedOn w:val="Normal"/>
    <w:link w:val="FooterChar"/>
    <w:uiPriority w:val="99"/>
    <w:unhideWhenUsed/>
    <w:rsid w:val="0003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51866">
      <w:bodyDiv w:val="1"/>
      <w:marLeft w:val="0"/>
      <w:marRight w:val="0"/>
      <w:marTop w:val="0"/>
      <w:marBottom w:val="0"/>
      <w:divBdr>
        <w:top w:val="none" w:sz="0" w:space="0" w:color="auto"/>
        <w:left w:val="none" w:sz="0" w:space="0" w:color="auto"/>
        <w:bottom w:val="none" w:sz="0" w:space="0" w:color="auto"/>
        <w:right w:val="none" w:sz="0" w:space="0" w:color="auto"/>
      </w:divBdr>
      <w:divsChild>
        <w:div w:id="781608909">
          <w:marLeft w:val="0"/>
          <w:marRight w:val="0"/>
          <w:marTop w:val="0"/>
          <w:marBottom w:val="0"/>
          <w:divBdr>
            <w:top w:val="none" w:sz="0" w:space="0" w:color="auto"/>
            <w:left w:val="none" w:sz="0" w:space="0" w:color="auto"/>
            <w:bottom w:val="none" w:sz="0" w:space="0" w:color="auto"/>
            <w:right w:val="none" w:sz="0" w:space="0" w:color="auto"/>
          </w:divBdr>
          <w:divsChild>
            <w:div w:id="15422748">
              <w:marLeft w:val="0"/>
              <w:marRight w:val="0"/>
              <w:marTop w:val="0"/>
              <w:marBottom w:val="240"/>
              <w:divBdr>
                <w:top w:val="none" w:sz="0" w:space="0" w:color="auto"/>
                <w:left w:val="none" w:sz="0" w:space="0" w:color="auto"/>
                <w:bottom w:val="none" w:sz="0" w:space="0" w:color="auto"/>
                <w:right w:val="none" w:sz="0" w:space="0" w:color="auto"/>
              </w:divBdr>
              <w:divsChild>
                <w:div w:id="19989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59455">
          <w:marLeft w:val="0"/>
          <w:marRight w:val="0"/>
          <w:marTop w:val="0"/>
          <w:marBottom w:val="450"/>
          <w:divBdr>
            <w:top w:val="none" w:sz="0" w:space="0" w:color="auto"/>
            <w:left w:val="none" w:sz="0" w:space="0" w:color="auto"/>
            <w:bottom w:val="none" w:sz="0" w:space="0" w:color="auto"/>
            <w:right w:val="none" w:sz="0" w:space="0" w:color="auto"/>
          </w:divBdr>
          <w:divsChild>
            <w:div w:id="1623923055">
              <w:marLeft w:val="-45"/>
              <w:marRight w:val="-45"/>
              <w:marTop w:val="0"/>
              <w:marBottom w:val="0"/>
              <w:divBdr>
                <w:top w:val="none" w:sz="0" w:space="0" w:color="auto"/>
                <w:left w:val="none" w:sz="0" w:space="0" w:color="auto"/>
                <w:bottom w:val="none" w:sz="0" w:space="0" w:color="auto"/>
                <w:right w:val="none" w:sz="0" w:space="0" w:color="auto"/>
              </w:divBdr>
              <w:divsChild>
                <w:div w:id="2049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1003">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FFAFC-EB40-495C-9478-CDDB2EE65C02}"/>
</file>

<file path=customXml/itemProps2.xml><?xml version="1.0" encoding="utf-8"?>
<ds:datastoreItem xmlns:ds="http://schemas.openxmlformats.org/officeDocument/2006/customXml" ds:itemID="{A701F32A-3980-4A33-8726-CD2F7F0476E5}"/>
</file>

<file path=customXml/itemProps3.xml><?xml version="1.0" encoding="utf-8"?>
<ds:datastoreItem xmlns:ds="http://schemas.openxmlformats.org/officeDocument/2006/customXml" ds:itemID="{E41FF810-D312-4372-AF5F-20C50461F1D5}"/>
</file>

<file path=customXml/itemProps4.xml><?xml version="1.0" encoding="utf-8"?>
<ds:datastoreItem xmlns:ds="http://schemas.openxmlformats.org/officeDocument/2006/customXml" ds:itemID="{B57720E0-33DF-4464-9871-46CCA25DB4E6}"/>
</file>

<file path=docProps/app.xml><?xml version="1.0" encoding="utf-8"?>
<Properties xmlns="http://schemas.openxmlformats.org/officeDocument/2006/extended-properties" xmlns:vt="http://schemas.openxmlformats.org/officeDocument/2006/docPropsVTypes">
  <Template>Normal</Template>
  <TotalTime>14</TotalTime>
  <Pages>9</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6</cp:revision>
  <dcterms:created xsi:type="dcterms:W3CDTF">2019-05-17T01:37:00Z</dcterms:created>
  <dcterms:modified xsi:type="dcterms:W3CDTF">2019-05-17T01:59:00Z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